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5C" w:rsidRPr="00AC6DE5" w:rsidRDefault="0080795C" w:rsidP="00AC6DE5">
      <w:pPr>
        <w:spacing w:line="320" w:lineRule="exact"/>
        <w:ind w:firstLine="708"/>
        <w:rPr>
          <w:rFonts w:ascii="Times New Roman" w:hAnsi="Times New Roman"/>
          <w:sz w:val="24"/>
          <w:szCs w:val="24"/>
        </w:rPr>
      </w:pPr>
    </w:p>
    <w:p w:rsidR="00A12D90" w:rsidRDefault="00A12D90" w:rsidP="00AC6DE5">
      <w:pPr>
        <w:spacing w:line="320" w:lineRule="exact"/>
        <w:ind w:left="7788"/>
        <w:rPr>
          <w:rFonts w:ascii="Times New Roman" w:hAnsi="Times New Roman"/>
          <w:sz w:val="24"/>
          <w:szCs w:val="24"/>
        </w:rPr>
      </w:pPr>
      <w:r w:rsidRPr="00AC6DE5">
        <w:rPr>
          <w:rFonts w:ascii="Times New Roman" w:hAnsi="Times New Roman"/>
          <w:sz w:val="24"/>
          <w:szCs w:val="24"/>
        </w:rPr>
        <w:t>Приложение №</w:t>
      </w:r>
      <w:r w:rsidR="00C16480" w:rsidRPr="00AC6DE5">
        <w:rPr>
          <w:rFonts w:ascii="Times New Roman" w:hAnsi="Times New Roman"/>
          <w:sz w:val="24"/>
          <w:szCs w:val="24"/>
        </w:rPr>
        <w:t xml:space="preserve"> 11</w:t>
      </w:r>
    </w:p>
    <w:p w:rsidR="00075026" w:rsidRPr="00075026" w:rsidRDefault="00075026" w:rsidP="00075026">
      <w:pPr>
        <w:spacing w:line="320" w:lineRule="exact"/>
        <w:ind w:left="2977"/>
        <w:rPr>
          <w:rFonts w:ascii="Times New Roman" w:hAnsi="Times New Roman"/>
          <w:i/>
          <w:sz w:val="24"/>
          <w:szCs w:val="24"/>
        </w:rPr>
      </w:pPr>
      <w:bookmarkStart w:id="0" w:name="_GoBack"/>
      <w:r w:rsidRPr="00075026">
        <w:rPr>
          <w:rFonts w:ascii="Times New Roman" w:hAnsi="Times New Roman"/>
          <w:i/>
          <w:sz w:val="24"/>
          <w:szCs w:val="24"/>
        </w:rPr>
        <w:t>Форма приглашения к участию в заочной процедуре переторжки</w:t>
      </w:r>
    </w:p>
    <w:bookmarkEnd w:id="0"/>
    <w:p w:rsidR="00A12D90" w:rsidRPr="00AC6DE5" w:rsidRDefault="00A12D90" w:rsidP="00AC6DE5">
      <w:pPr>
        <w:spacing w:line="320" w:lineRule="exact"/>
        <w:ind w:firstLine="708"/>
        <w:rPr>
          <w:rFonts w:ascii="Times New Roman" w:hAnsi="Times New Roman"/>
          <w:sz w:val="24"/>
          <w:szCs w:val="24"/>
        </w:rPr>
      </w:pPr>
    </w:p>
    <w:p w:rsidR="008529F4" w:rsidRPr="00AC6DE5" w:rsidRDefault="00DC67B1" w:rsidP="00AC6DE5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  <w:r w:rsidRPr="00AC6DE5">
        <w:rPr>
          <w:rFonts w:ascii="Times New Roman" w:hAnsi="Times New Roman"/>
          <w:sz w:val="24"/>
          <w:szCs w:val="24"/>
        </w:rPr>
        <w:t xml:space="preserve">Утверждено решением </w:t>
      </w:r>
      <w:r w:rsidR="00D404EB" w:rsidRPr="00AC6DE5">
        <w:rPr>
          <w:rFonts w:ascii="Times New Roman" w:hAnsi="Times New Roman"/>
          <w:sz w:val="24"/>
          <w:szCs w:val="24"/>
        </w:rPr>
        <w:t xml:space="preserve">Закупочной </w:t>
      </w:r>
      <w:r w:rsidR="001A6726" w:rsidRPr="00AC6DE5">
        <w:rPr>
          <w:rFonts w:ascii="Times New Roman" w:hAnsi="Times New Roman"/>
          <w:sz w:val="24"/>
          <w:szCs w:val="24"/>
        </w:rPr>
        <w:t>комисси</w:t>
      </w:r>
      <w:r w:rsidRPr="00AC6DE5">
        <w:rPr>
          <w:rFonts w:ascii="Times New Roman" w:hAnsi="Times New Roman"/>
          <w:sz w:val="24"/>
          <w:szCs w:val="24"/>
        </w:rPr>
        <w:t>и</w:t>
      </w:r>
      <w:r w:rsidR="001A6726" w:rsidRPr="00AC6DE5">
        <w:rPr>
          <w:rFonts w:ascii="Times New Roman" w:hAnsi="Times New Roman"/>
          <w:sz w:val="24"/>
          <w:szCs w:val="24"/>
        </w:rPr>
        <w:t xml:space="preserve"> </w:t>
      </w:r>
      <w:r w:rsidR="008529F4" w:rsidRPr="00AC6DE5">
        <w:rPr>
          <w:rFonts w:ascii="Times New Roman" w:eastAsia="Calibri" w:hAnsi="Times New Roman"/>
          <w:bCs/>
          <w:sz w:val="24"/>
          <w:szCs w:val="24"/>
        </w:rPr>
        <w:t>____________________</w:t>
      </w:r>
    </w:p>
    <w:p w:rsidR="008F79C6" w:rsidRPr="00AC6DE5" w:rsidRDefault="00DC67B1" w:rsidP="00AC6DE5">
      <w:pPr>
        <w:spacing w:line="320" w:lineRule="exact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AC6DE5">
        <w:rPr>
          <w:rFonts w:ascii="Times New Roman" w:hAnsi="Times New Roman"/>
          <w:bCs/>
          <w:color w:val="000000"/>
          <w:sz w:val="24"/>
          <w:szCs w:val="24"/>
        </w:rPr>
        <w:t>(протокол от ______ №_</w:t>
      </w:r>
      <w:r w:rsidR="008529F4" w:rsidRPr="00AC6DE5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AC6DE5">
        <w:rPr>
          <w:rFonts w:ascii="Times New Roman" w:hAnsi="Times New Roman"/>
          <w:bCs/>
          <w:color w:val="000000"/>
          <w:sz w:val="24"/>
          <w:szCs w:val="24"/>
        </w:rPr>
        <w:t>________)</w:t>
      </w:r>
      <w:r w:rsidR="008529F4" w:rsidRPr="00AC6DE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F79C6" w:rsidRPr="00AC6DE5" w:rsidRDefault="008F79C6" w:rsidP="00AC6DE5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</w:p>
    <w:p w:rsidR="00A12D90" w:rsidRPr="00AC6DE5" w:rsidRDefault="0061070D" w:rsidP="00AC6DE5">
      <w:pPr>
        <w:spacing w:line="320" w:lineRule="exact"/>
        <w:ind w:firstLine="708"/>
        <w:jc w:val="center"/>
        <w:rPr>
          <w:rFonts w:ascii="Times New Roman" w:eastAsia="Calibri" w:hAnsi="Times New Roman"/>
          <w:b/>
          <w:bCs/>
          <w:szCs w:val="28"/>
        </w:rPr>
      </w:pPr>
      <w:r w:rsidRPr="00AC6DE5">
        <w:rPr>
          <w:rFonts w:ascii="Times New Roman" w:eastAsia="Calibri" w:hAnsi="Times New Roman"/>
          <w:b/>
          <w:bCs/>
          <w:szCs w:val="28"/>
        </w:rPr>
        <w:t>Приглашение к</w:t>
      </w:r>
      <w:r w:rsidR="008529F4" w:rsidRPr="00AC6DE5">
        <w:rPr>
          <w:rFonts w:ascii="Times New Roman" w:eastAsia="Calibri" w:hAnsi="Times New Roman"/>
          <w:b/>
          <w:bCs/>
          <w:szCs w:val="28"/>
        </w:rPr>
        <w:t xml:space="preserve"> </w:t>
      </w:r>
      <w:r w:rsidR="0006467C" w:rsidRPr="00AC6DE5">
        <w:rPr>
          <w:rFonts w:ascii="Times New Roman" w:eastAsia="Calibri" w:hAnsi="Times New Roman"/>
          <w:b/>
          <w:bCs/>
          <w:szCs w:val="28"/>
        </w:rPr>
        <w:t>участию в</w:t>
      </w:r>
      <w:r w:rsidR="008529F4" w:rsidRPr="00AC6DE5">
        <w:rPr>
          <w:rFonts w:ascii="Times New Roman" w:eastAsia="Calibri" w:hAnsi="Times New Roman"/>
          <w:b/>
          <w:bCs/>
          <w:szCs w:val="28"/>
        </w:rPr>
        <w:t xml:space="preserve"> </w:t>
      </w:r>
      <w:r w:rsidR="00B20B86" w:rsidRPr="00AC6DE5">
        <w:rPr>
          <w:rFonts w:ascii="Times New Roman" w:eastAsia="Calibri" w:hAnsi="Times New Roman"/>
          <w:b/>
          <w:bCs/>
          <w:szCs w:val="28"/>
          <w:u w:val="single"/>
        </w:rPr>
        <w:t>за</w:t>
      </w:r>
      <w:r w:rsidR="00244D93" w:rsidRPr="00AC6DE5">
        <w:rPr>
          <w:rFonts w:ascii="Times New Roman" w:eastAsia="Calibri" w:hAnsi="Times New Roman"/>
          <w:b/>
          <w:bCs/>
          <w:szCs w:val="28"/>
          <w:u w:val="single"/>
        </w:rPr>
        <w:t>очной</w:t>
      </w:r>
      <w:r w:rsidR="00244D93" w:rsidRPr="00AC6DE5">
        <w:rPr>
          <w:rFonts w:ascii="Times New Roman" w:eastAsia="Calibri" w:hAnsi="Times New Roman"/>
          <w:b/>
          <w:bCs/>
          <w:szCs w:val="28"/>
        </w:rPr>
        <w:t xml:space="preserve"> </w:t>
      </w:r>
      <w:r w:rsidR="008529F4" w:rsidRPr="00AC6DE5">
        <w:rPr>
          <w:rFonts w:ascii="Times New Roman" w:eastAsia="Calibri" w:hAnsi="Times New Roman"/>
          <w:b/>
          <w:bCs/>
          <w:szCs w:val="28"/>
        </w:rPr>
        <w:t>процедур</w:t>
      </w:r>
      <w:r w:rsidR="0006467C" w:rsidRPr="00AC6DE5">
        <w:rPr>
          <w:rFonts w:ascii="Times New Roman" w:eastAsia="Calibri" w:hAnsi="Times New Roman"/>
          <w:b/>
          <w:bCs/>
          <w:szCs w:val="28"/>
        </w:rPr>
        <w:t>е</w:t>
      </w:r>
      <w:r w:rsidR="008529F4" w:rsidRPr="00AC6DE5">
        <w:rPr>
          <w:rFonts w:ascii="Times New Roman" w:eastAsia="Calibri" w:hAnsi="Times New Roman"/>
          <w:b/>
          <w:bCs/>
          <w:szCs w:val="28"/>
        </w:rPr>
        <w:t xml:space="preserve"> переторжки</w:t>
      </w:r>
      <w:r w:rsidR="00D61661" w:rsidRPr="00AC6DE5">
        <w:rPr>
          <w:rFonts w:ascii="Times New Roman" w:eastAsia="Calibri" w:hAnsi="Times New Roman"/>
          <w:b/>
          <w:bCs/>
          <w:szCs w:val="28"/>
        </w:rPr>
        <w:t xml:space="preserve"> </w:t>
      </w:r>
    </w:p>
    <w:p w:rsidR="008F79C6" w:rsidRPr="00AC6DE5" w:rsidRDefault="00B20B86" w:rsidP="00AC6DE5">
      <w:pPr>
        <w:spacing w:line="320" w:lineRule="exact"/>
        <w:ind w:firstLine="708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AC6DE5">
        <w:rPr>
          <w:rFonts w:ascii="Times New Roman" w:eastAsia="Calibri" w:hAnsi="Times New Roman"/>
          <w:bCs/>
          <w:i/>
          <w:szCs w:val="28"/>
        </w:rPr>
        <w:t xml:space="preserve"> </w:t>
      </w:r>
    </w:p>
    <w:tbl>
      <w:tblPr>
        <w:tblStyle w:val="a6"/>
        <w:tblW w:w="10490" w:type="dxa"/>
        <w:tblInd w:w="-176" w:type="dxa"/>
        <w:tblLook w:val="04A0" w:firstRow="1" w:lastRow="0" w:firstColumn="1" w:lastColumn="0" w:noHBand="0" w:noVBand="1"/>
      </w:tblPr>
      <w:tblGrid>
        <w:gridCol w:w="534"/>
        <w:gridCol w:w="2160"/>
        <w:gridCol w:w="7796"/>
      </w:tblGrid>
      <w:tr w:rsidR="00D42762" w:rsidRPr="00AC6DE5" w:rsidTr="00A2770A">
        <w:tc>
          <w:tcPr>
            <w:tcW w:w="534" w:type="dxa"/>
          </w:tcPr>
          <w:p w:rsidR="00D42762" w:rsidRPr="00AC6DE5" w:rsidRDefault="00D42762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42762" w:rsidRPr="00AC6DE5" w:rsidRDefault="00D42762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Форма проведения </w:t>
            </w:r>
            <w:r w:rsidR="00B20B86"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переторжки</w:t>
            </w:r>
          </w:p>
        </w:tc>
        <w:tc>
          <w:tcPr>
            <w:tcW w:w="7796" w:type="dxa"/>
          </w:tcPr>
          <w:p w:rsidR="00D42762" w:rsidRPr="00AC6DE5" w:rsidRDefault="00B20B86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Заочная. </w:t>
            </w:r>
          </w:p>
        </w:tc>
      </w:tr>
      <w:tr w:rsidR="00D42762" w:rsidRPr="00AC6DE5" w:rsidTr="00A2770A">
        <w:tc>
          <w:tcPr>
            <w:tcW w:w="534" w:type="dxa"/>
          </w:tcPr>
          <w:p w:rsidR="00D42762" w:rsidRPr="00AC6DE5" w:rsidRDefault="00D42762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42762" w:rsidRPr="00AC6DE5" w:rsidRDefault="00D25B44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Срок предоставления обновленных заявок </w:t>
            </w:r>
          </w:p>
        </w:tc>
        <w:tc>
          <w:tcPr>
            <w:tcW w:w="7796" w:type="dxa"/>
          </w:tcPr>
          <w:p w:rsidR="00D42762" w:rsidRPr="00AC6DE5" w:rsidRDefault="00D25B44" w:rsidP="00AC6DE5">
            <w:pPr>
              <w:spacing w:line="32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до _____________.</w:t>
            </w:r>
          </w:p>
        </w:tc>
      </w:tr>
      <w:tr w:rsidR="002907F2" w:rsidRPr="00AC6DE5" w:rsidTr="00A2770A">
        <w:tc>
          <w:tcPr>
            <w:tcW w:w="534" w:type="dxa"/>
          </w:tcPr>
          <w:p w:rsidR="002907F2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2907F2" w:rsidRPr="00AC6DE5" w:rsidRDefault="002907F2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Порядок предоставления обновленных заявок</w:t>
            </w:r>
          </w:p>
        </w:tc>
        <w:tc>
          <w:tcPr>
            <w:tcW w:w="7796" w:type="dxa"/>
          </w:tcPr>
          <w:p w:rsidR="003F0F28" w:rsidRPr="00AC6DE5" w:rsidRDefault="005D518D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1) </w:t>
            </w:r>
            <w:r w:rsidR="003F0F28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Например</w:t>
            </w:r>
            <w:proofErr w:type="gramEnd"/>
            <w:r w:rsidR="003F0F28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,</w:t>
            </w:r>
            <w:r w:rsidR="003F0F28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3F0F28" w:rsidRPr="00AC6DE5" w:rsidRDefault="003F0F28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1: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2907F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Участники предоставляют обновленные заявки в письменном виде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едином отсканированном файле в формате PDF-</w:t>
            </w:r>
            <w:proofErr w:type="spellStart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Adobe</w:t>
            </w:r>
            <w:proofErr w:type="spellEnd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Acrobat</w:t>
            </w:r>
            <w:proofErr w:type="spellEnd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 электронной почте на адрес _______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___________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_______. </w:t>
            </w:r>
          </w:p>
          <w:p w:rsidR="00D404EB" w:rsidRPr="00AC6DE5" w:rsidRDefault="00D404EB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3F0F28" w:rsidRPr="00AC6DE5" w:rsidRDefault="003F0F28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2: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5D518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Участники предоставляют обновленные заявки </w:t>
            </w:r>
            <w:r w:rsidR="00E67A2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 </w:t>
            </w:r>
            <w:r w:rsidR="005D518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адрес</w:t>
            </w:r>
            <w:r w:rsidR="00E67A2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="005D518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__________________</w:t>
            </w:r>
            <w:r w:rsidR="00E67A2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письменном виде в </w:t>
            </w:r>
            <w:r w:rsidR="00F543C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запечатанном непрозрачном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конверте с указанием на лицевой стороне следующих данных: название компании отправителя</w:t>
            </w:r>
            <w:r w:rsidR="0070183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,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контактно</w:t>
            </w:r>
            <w:r w:rsidR="0070183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го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лиц</w:t>
            </w:r>
            <w:r w:rsidR="0070183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 и пометкой, что конверт подлежит вскрытию на процедуре переторжки. </w:t>
            </w:r>
            <w:r w:rsidR="00E67A2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2236FB" w:rsidRPr="00AC6DE5" w:rsidRDefault="002236FB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5D518D" w:rsidRPr="00AC6DE5" w:rsidRDefault="005D518D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2) Новое ценовое предложение должно быть оформлено в соответстви</w:t>
            </w:r>
            <w:r w:rsidR="002D1D13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е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требованиями 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раздела</w:t>
            </w:r>
            <w:proofErr w:type="gramEnd"/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_____ Приглашения к участию в закупке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В случае </w:t>
            </w:r>
            <w:r w:rsidR="00B06A9E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несоблюдения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данного условия обновленная заявка может быть отклонена, в таком случае признается выигравшей следующая по степени предпочтительности заявка.   </w:t>
            </w:r>
          </w:p>
          <w:p w:rsidR="002236FB" w:rsidRPr="00AC6DE5" w:rsidRDefault="002236FB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2907F2" w:rsidRPr="00AC6DE5" w:rsidRDefault="005D518D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3) Подписывать заявки с новыми условиями поставки продукции могут только лица, подписавшие первоначальную заявку, либо иные представители участника, уполномоченные соответствующей доверенностью. В последнем случае такие лица должны вместе с заявкой (коммерческим предложением) с новыми условиями представить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О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рганизатору закупки оригинал доверенности или заверенную копию на совершение указанных выше действий.</w:t>
            </w:r>
            <w:r w:rsidR="00B06A9E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случае не предоставления доверенности такие заявки не рассматриваются, и такие участники считаются не участвовавшими в процедуре переторжки. </w:t>
            </w:r>
          </w:p>
        </w:tc>
      </w:tr>
      <w:tr w:rsidR="00D42762" w:rsidRPr="00AC6DE5" w:rsidTr="00A2770A">
        <w:tc>
          <w:tcPr>
            <w:tcW w:w="534" w:type="dxa"/>
          </w:tcPr>
          <w:p w:rsidR="00D42762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42762" w:rsidRPr="00AC6DE5" w:rsidRDefault="00D25B44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Срок рассмотрения обновленных заявок </w:t>
            </w:r>
          </w:p>
        </w:tc>
        <w:tc>
          <w:tcPr>
            <w:tcW w:w="7796" w:type="dxa"/>
          </w:tcPr>
          <w:p w:rsidR="00E67A22" w:rsidRPr="00AC6DE5" w:rsidRDefault="00E67A22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D42762" w:rsidRPr="00AC6DE5" w:rsidRDefault="00E67A22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1: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824C0A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Рассмотрение поступивших обновленных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заявок</w:t>
            </w:r>
            <w:r w:rsidR="00824C0A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будет проведено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Закупочной комиссией </w:t>
            </w:r>
            <w:r w:rsidR="00B432E8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в срок до _______________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 </w:t>
            </w:r>
          </w:p>
          <w:p w:rsidR="00E67A22" w:rsidRPr="00AC6DE5" w:rsidRDefault="00E67A22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2: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Вскрытие конвертов и рассмотрение поступивших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обновленных заявок будет проведено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Закупочной комиссией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срок до ___</w:t>
            </w:r>
            <w:r w:rsidR="00B432E8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__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_______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B06A9E" w:rsidRPr="00AC6DE5" w:rsidRDefault="00B06A9E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D42762" w:rsidRPr="00AC6DE5" w:rsidTr="00A2770A">
        <w:tc>
          <w:tcPr>
            <w:tcW w:w="534" w:type="dxa"/>
          </w:tcPr>
          <w:p w:rsidR="00D42762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D42762" w:rsidRPr="00AC6DE5" w:rsidRDefault="00453D2F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Место и дата подведения итогов закупки</w:t>
            </w:r>
          </w:p>
        </w:tc>
        <w:tc>
          <w:tcPr>
            <w:tcW w:w="7796" w:type="dxa"/>
          </w:tcPr>
          <w:p w:rsidR="00D42762" w:rsidRPr="00AC6DE5" w:rsidRDefault="001A539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соответствии с пунктом ____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Приглашения к участию в закупке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42762" w:rsidRPr="00AC6DE5" w:rsidTr="00A2770A">
        <w:tc>
          <w:tcPr>
            <w:tcW w:w="534" w:type="dxa"/>
          </w:tcPr>
          <w:p w:rsidR="00D42762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42762" w:rsidRPr="00AC6DE5" w:rsidRDefault="00A15909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Начальная  цена</w:t>
            </w:r>
            <w:r w:rsidR="00DC67B1"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переторжки</w:t>
            </w:r>
            <w:r w:rsidR="0070794A" w:rsidRPr="00AC6DE5">
              <w:rPr>
                <w:rStyle w:val="af2"/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  <w:footnoteReference w:id="1"/>
            </w:r>
          </w:p>
        </w:tc>
        <w:tc>
          <w:tcPr>
            <w:tcW w:w="7796" w:type="dxa"/>
          </w:tcPr>
          <w:p w:rsidR="00D42762" w:rsidRPr="00AC6DE5" w:rsidRDefault="003050D7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42762" w:rsidRPr="00AC6DE5" w:rsidTr="00A2770A">
        <w:tc>
          <w:tcPr>
            <w:tcW w:w="534" w:type="dxa"/>
          </w:tcPr>
          <w:p w:rsidR="00D42762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42762" w:rsidRPr="00AC6DE5" w:rsidRDefault="001A5390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Размер снижения цены</w:t>
            </w:r>
          </w:p>
        </w:tc>
        <w:tc>
          <w:tcPr>
            <w:tcW w:w="7796" w:type="dxa"/>
          </w:tcPr>
          <w:p w:rsidR="00AE2591" w:rsidRPr="00AC6DE5" w:rsidRDefault="00AE2591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AE2591" w:rsidRPr="00AC6DE5" w:rsidRDefault="00AE2591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</w:rPr>
              <w:t>Вариант 1: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502D85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не установлен.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Закупочная комиссия </w:t>
            </w:r>
            <w:r w:rsidR="00502D85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="00A62FCF" w:rsidRPr="00AC6DE5">
              <w:rPr>
                <w:rFonts w:ascii="Times New Roman" w:hAnsi="Times New Roman"/>
                <w:sz w:val="24"/>
                <w:szCs w:val="24"/>
              </w:rPr>
              <w:t>редоставляет</w:t>
            </w:r>
            <w:r w:rsidR="00502D85" w:rsidRPr="00AC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2D85" w:rsidRPr="00AC6DE5">
              <w:rPr>
                <w:rFonts w:ascii="Times New Roman" w:hAnsi="Times New Roman"/>
                <w:sz w:val="24"/>
                <w:szCs w:val="24"/>
              </w:rPr>
              <w:t xml:space="preserve">участнику </w:t>
            </w:r>
            <w:r w:rsidR="00A62FCF" w:rsidRPr="00AC6DE5"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  <w:proofErr w:type="gramEnd"/>
            <w:r w:rsidR="00A62FCF" w:rsidRPr="00AC6DE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определить сумму снижения цены своего предложения</w:t>
            </w:r>
            <w:r w:rsidR="00A62FCF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от начальной цены переторжки.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D42762" w:rsidRPr="00AC6DE5" w:rsidRDefault="00AE2591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</w:rPr>
              <w:t>Вариант 2: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502D85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установлен в размере </w:t>
            </w:r>
            <w:r w:rsidR="00F1047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____ </w:t>
            </w:r>
            <w:r w:rsidR="00F10479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</w:t>
            </w:r>
            <w:r w:rsidR="000666FF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ука</w:t>
            </w:r>
            <w:r w:rsidR="00701839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зать конкретный размер снижения цены </w:t>
            </w:r>
            <w:r w:rsidR="000666FF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в процентном или денежном выражении</w:t>
            </w:r>
            <w:r w:rsidR="00F10479"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от начальной цены пер</w:t>
            </w: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еторжки). </w:t>
            </w:r>
          </w:p>
        </w:tc>
      </w:tr>
      <w:tr w:rsidR="000D68F0" w:rsidRPr="00AC6DE5" w:rsidTr="00A2770A">
        <w:tc>
          <w:tcPr>
            <w:tcW w:w="534" w:type="dxa"/>
          </w:tcPr>
          <w:p w:rsidR="000D68F0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D68F0" w:rsidRPr="00AC6DE5" w:rsidRDefault="000D68F0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Установление ограничения по снижению цены </w:t>
            </w:r>
            <w:r w:rsidRPr="00AC6DE5">
              <w:rPr>
                <w:rStyle w:val="af2"/>
                <w:rFonts w:ascii="Times New Roman" w:eastAsia="Calibri" w:hAnsi="Times New Roman"/>
                <w:b/>
                <w:bCs/>
                <w:sz w:val="24"/>
                <w:szCs w:val="24"/>
                <w:highlight w:val="yellow"/>
              </w:rPr>
              <w:footnoteReference w:id="2"/>
            </w:r>
          </w:p>
        </w:tc>
        <w:tc>
          <w:tcPr>
            <w:tcW w:w="7796" w:type="dxa"/>
          </w:tcPr>
          <w:p w:rsidR="008E3620" w:rsidRPr="00AC6DE5" w:rsidRDefault="008E362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Например, </w:t>
            </w:r>
          </w:p>
          <w:p w:rsidR="008E3620" w:rsidRPr="00AC6DE5" w:rsidRDefault="008E362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1: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36A9E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Не установлено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0D68F0" w:rsidRPr="00AC6DE5" w:rsidRDefault="008E362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i/>
                <w:sz w:val="24"/>
                <w:szCs w:val="24"/>
                <w:highlight w:val="yellow"/>
                <w:u w:val="single"/>
              </w:rPr>
              <w:t>Вариант 2: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="00036A9E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П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редусмотрено ограничение по снижению цен в </w:t>
            </w:r>
            <w:proofErr w:type="gramStart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размере </w:t>
            </w:r>
            <w:r w:rsidR="00036A9E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proofErr w:type="gramEnd"/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% от начальной цены переторжки, предусмотренной пунктом </w:t>
            </w:r>
            <w:r w:rsidR="00701839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6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настояще</w:t>
            </w:r>
            <w:r w:rsidR="00FF0082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го Приглашения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   </w:t>
            </w:r>
          </w:p>
          <w:p w:rsidR="00036A9E" w:rsidRPr="00AC6DE5" w:rsidRDefault="00036A9E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hAnsi="Times New Roman"/>
                <w:sz w:val="24"/>
                <w:szCs w:val="24"/>
              </w:rPr>
              <w:t xml:space="preserve">Если окончательная цена, заявленная участником по результатам тура (этапа) переторжки окажется ниже, чем на 20% </w:t>
            </w:r>
            <w:r w:rsidR="00D404EB" w:rsidRPr="00AC6DE5">
              <w:rPr>
                <w:rFonts w:ascii="Times New Roman" w:hAnsi="Times New Roman"/>
                <w:sz w:val="24"/>
                <w:szCs w:val="24"/>
              </w:rPr>
              <w:t xml:space="preserve">от минимальной цены переторжки Закупочная комиссия 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вправе отклонить такую заявку. В этом случае, окончательной ценой заявки будет считаться цена заявки, полученная в ходе предыдущего тура (этапа) переторжки и соответственно, которая </w:t>
            </w:r>
            <w:r w:rsidR="00D66DF1" w:rsidRPr="00AC6DE5">
              <w:rPr>
                <w:rFonts w:ascii="Times New Roman" w:hAnsi="Times New Roman"/>
                <w:sz w:val="24"/>
                <w:szCs w:val="24"/>
              </w:rPr>
              <w:t>будет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учтена при построении итоговой </w:t>
            </w:r>
            <w:proofErr w:type="spellStart"/>
            <w:r w:rsidRPr="00AC6DE5">
              <w:rPr>
                <w:rFonts w:ascii="Times New Roman" w:hAnsi="Times New Roman"/>
                <w:sz w:val="24"/>
                <w:szCs w:val="24"/>
              </w:rPr>
              <w:t>ранжировки</w:t>
            </w:r>
            <w:proofErr w:type="spellEnd"/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предложений.   </w:t>
            </w:r>
          </w:p>
        </w:tc>
      </w:tr>
      <w:tr w:rsidR="000D68F0" w:rsidRPr="00AC6DE5" w:rsidTr="00A2770A">
        <w:tc>
          <w:tcPr>
            <w:tcW w:w="534" w:type="dxa"/>
          </w:tcPr>
          <w:p w:rsidR="000D68F0" w:rsidRPr="00AC6DE5" w:rsidRDefault="00701839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0D68F0" w:rsidRPr="00AC6DE5" w:rsidRDefault="000D68F0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Условия договора, по которым проводится переторжка</w:t>
            </w:r>
          </w:p>
        </w:tc>
        <w:tc>
          <w:tcPr>
            <w:tcW w:w="7796" w:type="dxa"/>
          </w:tcPr>
          <w:p w:rsidR="00A62FCF" w:rsidRPr="00AC6DE5" w:rsidRDefault="00A62FCF" w:rsidP="00AC6DE5">
            <w:pPr>
              <w:spacing w:line="32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6DE5">
              <w:rPr>
                <w:rFonts w:ascii="Times New Roman" w:hAnsi="Times New Roman"/>
                <w:i/>
                <w:sz w:val="24"/>
                <w:szCs w:val="24"/>
              </w:rPr>
              <w:t>Например,</w:t>
            </w:r>
          </w:p>
          <w:p w:rsidR="00E24ED4" w:rsidRPr="00AC6DE5" w:rsidRDefault="00E24ED4" w:rsidP="00AC6DE5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AC6DE5">
              <w:rPr>
                <w:snapToGrid/>
                <w:sz w:val="24"/>
                <w:szCs w:val="24"/>
              </w:rPr>
              <w:t>цена заявки (цена за единицу продукции);</w:t>
            </w:r>
          </w:p>
          <w:p w:rsidR="00E24ED4" w:rsidRPr="00AC6DE5" w:rsidRDefault="00E24ED4" w:rsidP="00AC6DE5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AC6DE5">
              <w:rPr>
                <w:snapToGrid/>
                <w:sz w:val="24"/>
                <w:szCs w:val="24"/>
              </w:rPr>
              <w:t>сроки поставки продукции;</w:t>
            </w:r>
          </w:p>
          <w:p w:rsidR="00E24ED4" w:rsidRPr="00AC6DE5" w:rsidRDefault="00E24ED4" w:rsidP="00AC6DE5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AC6DE5">
              <w:rPr>
                <w:snapToGrid/>
                <w:sz w:val="24"/>
                <w:szCs w:val="24"/>
              </w:rPr>
              <w:t>условия оплаты;</w:t>
            </w:r>
          </w:p>
          <w:p w:rsidR="000D68F0" w:rsidRPr="00AC6DE5" w:rsidRDefault="00E24ED4" w:rsidP="00AC6DE5">
            <w:pPr>
              <w:pStyle w:val="a1"/>
              <w:tabs>
                <w:tab w:val="clear" w:pos="5104"/>
              </w:tabs>
              <w:spacing w:line="320" w:lineRule="exact"/>
              <w:ind w:left="600"/>
              <w:rPr>
                <w:snapToGrid/>
                <w:sz w:val="24"/>
                <w:szCs w:val="24"/>
              </w:rPr>
            </w:pPr>
            <w:r w:rsidRPr="00AC6DE5">
              <w:rPr>
                <w:snapToGrid/>
                <w:sz w:val="24"/>
                <w:szCs w:val="24"/>
              </w:rPr>
              <w:t xml:space="preserve">иные условия договора, которые являются критериями оценки заявок. При этом предметом переторжки не могут быть условия, которые не входят в состав критериев оценки в соответствии с Приглашением к участию в закупке. </w:t>
            </w:r>
          </w:p>
        </w:tc>
      </w:tr>
      <w:tr w:rsidR="000D68F0" w:rsidRPr="00AC6DE5" w:rsidTr="00A2770A">
        <w:tc>
          <w:tcPr>
            <w:tcW w:w="534" w:type="dxa"/>
          </w:tcPr>
          <w:p w:rsidR="000D68F0" w:rsidRPr="00AC6DE5" w:rsidRDefault="001070FB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0D68F0" w:rsidRPr="00AC6DE5" w:rsidRDefault="000D68F0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Количество туров (шагов) снижения</w:t>
            </w:r>
          </w:p>
        </w:tc>
        <w:tc>
          <w:tcPr>
            <w:tcW w:w="7796" w:type="dxa"/>
          </w:tcPr>
          <w:p w:rsidR="000D68F0" w:rsidRPr="00AC6DE5" w:rsidRDefault="00A62FCF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hAnsi="Times New Roman"/>
                <w:sz w:val="24"/>
                <w:szCs w:val="24"/>
              </w:rPr>
              <w:t xml:space="preserve">Один. 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0D68F0" w:rsidRPr="00AC6DE5" w:rsidTr="00A2770A">
        <w:tc>
          <w:tcPr>
            <w:tcW w:w="534" w:type="dxa"/>
          </w:tcPr>
          <w:p w:rsidR="000D68F0" w:rsidRPr="00AC6DE5" w:rsidRDefault="001070FB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0D68F0" w:rsidRPr="00AC6DE5" w:rsidRDefault="000D68F0" w:rsidP="00AC6DE5">
            <w:pPr>
              <w:spacing w:line="320" w:lineRule="exact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Требования к участнику процедуры переторжки</w:t>
            </w:r>
          </w:p>
        </w:tc>
        <w:tc>
          <w:tcPr>
            <w:tcW w:w="7796" w:type="dxa"/>
          </w:tcPr>
          <w:p w:rsidR="00CF615A" w:rsidRPr="00AC6DE5" w:rsidRDefault="000D68F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1)</w:t>
            </w:r>
            <w:r w:rsidR="00A92357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1756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В</w:t>
            </w:r>
            <w:proofErr w:type="gramEnd"/>
            <w:r w:rsidR="0091756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процедуре переторжки принимают участие только участники закупочной процедуры, допущенные на данный этап решением Закупочной комиссии по итогам рассмотрения заявок и их предварительной оценки на соответствие требованиям Приглашения к </w:t>
            </w:r>
            <w:r w:rsidR="0091756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участию в закупке, с учетом результатов проверки Службы безопасности АО «МАСКО».  </w:t>
            </w:r>
            <w:r w:rsidR="00D404EB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</w:t>
            </w:r>
          </w:p>
          <w:p w:rsidR="000D68F0" w:rsidRPr="00AC6DE5" w:rsidRDefault="000D68F0" w:rsidP="00AC6DE5">
            <w:pPr>
              <w:spacing w:line="320" w:lineRule="exact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2)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этапе проведения переторжки Участникам запрещается:</w:t>
            </w:r>
          </w:p>
          <w:p w:rsidR="000D68F0" w:rsidRPr="00AC6DE5" w:rsidRDefault="000D68F0" w:rsidP="00AC6DE5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sz w:val="24"/>
                <w:szCs w:val="24"/>
              </w:rPr>
              <w:t xml:space="preserve">повышать ранее предложенную цену, </w:t>
            </w:r>
          </w:p>
          <w:p w:rsidR="000D68F0" w:rsidRPr="00AC6DE5" w:rsidRDefault="000D68F0" w:rsidP="00AC6DE5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sz w:val="24"/>
                <w:szCs w:val="24"/>
              </w:rPr>
              <w:t>изменять иные условия заявки на участие в закупочной процедуре в связи со снижением цены,</w:t>
            </w:r>
          </w:p>
          <w:p w:rsidR="008D518B" w:rsidRPr="00AC6DE5" w:rsidRDefault="008D518B" w:rsidP="00AC6DE5">
            <w:pPr>
              <w:pStyle w:val="af3"/>
              <w:numPr>
                <w:ilvl w:val="0"/>
                <w:numId w:val="3"/>
              </w:numPr>
              <w:spacing w:line="320" w:lineRule="exac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sz w:val="24"/>
                <w:szCs w:val="24"/>
              </w:rPr>
              <w:t>указывать нескольких вариантов минимальных цен</w:t>
            </w:r>
            <w:r w:rsidR="0042274E" w:rsidRPr="00AC6D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000F" w:rsidRPr="00AC6DE5" w:rsidRDefault="0052000F" w:rsidP="00AC6DE5">
            <w:pPr>
              <w:spacing w:line="320" w:lineRule="exact"/>
              <w:ind w:left="-4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3)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Участник, приглашенный на переторжку вправе: </w:t>
            </w:r>
          </w:p>
          <w:p w:rsidR="0052000F" w:rsidRPr="00AC6DE5" w:rsidRDefault="0052000F" w:rsidP="00AC6DE5">
            <w:pPr>
              <w:spacing w:line="320" w:lineRule="exact"/>
              <w:ind w:left="-4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- не участвовать в переторжке, тогда его заявка остается действующей с ранее объявленными условиями;</w:t>
            </w:r>
          </w:p>
          <w:p w:rsidR="0052000F" w:rsidRPr="00AC6DE5" w:rsidRDefault="0052000F" w:rsidP="00AC6DE5">
            <w:pPr>
              <w:spacing w:line="320" w:lineRule="exact"/>
              <w:ind w:left="-4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- отозвать поданную заявку (предложение) с новыми условиями в любое время до момента начала вскрытия конвертов с предложениями новых условий;</w:t>
            </w:r>
          </w:p>
          <w:p w:rsidR="0052000F" w:rsidRPr="00AC6DE5" w:rsidRDefault="0052000F" w:rsidP="00AC6DE5">
            <w:pPr>
              <w:spacing w:line="320" w:lineRule="exact"/>
              <w:ind w:left="-4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 присутствовать на заседании </w:t>
            </w:r>
            <w:r w:rsidR="0081213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З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акупочно</w:t>
            </w:r>
            <w:r w:rsidR="0081213D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й </w:t>
            </w:r>
            <w:r w:rsidR="007B6FC1"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>комиссии</w:t>
            </w: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при озвучивании поступивших обновлённых заявок, в том числе и на заседании по вскрытию конвертов, при условии, что конверт с обновленной заявкой представлен участником своевременно. </w:t>
            </w:r>
          </w:p>
        </w:tc>
      </w:tr>
      <w:tr w:rsidR="000D68F0" w:rsidRPr="00AC6DE5" w:rsidTr="00A2770A">
        <w:tc>
          <w:tcPr>
            <w:tcW w:w="534" w:type="dxa"/>
          </w:tcPr>
          <w:p w:rsidR="000D68F0" w:rsidRPr="00AC6DE5" w:rsidRDefault="001070FB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0" w:type="dxa"/>
          </w:tcPr>
          <w:p w:rsidR="000D68F0" w:rsidRPr="00AC6DE5" w:rsidRDefault="000D68F0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Общие правила переторжки</w:t>
            </w:r>
          </w:p>
        </w:tc>
        <w:tc>
          <w:tcPr>
            <w:tcW w:w="7796" w:type="dxa"/>
          </w:tcPr>
          <w:p w:rsidR="000D68F0" w:rsidRPr="00AC6DE5" w:rsidRDefault="000D68F0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Если </w:t>
            </w:r>
            <w:r w:rsidR="00D404EB" w:rsidRPr="00AC6DE5">
              <w:rPr>
                <w:rFonts w:ascii="Times New Roman" w:hAnsi="Times New Roman"/>
                <w:sz w:val="24"/>
                <w:szCs w:val="24"/>
              </w:rPr>
              <w:t>Закупочной комиссией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принято решение о приглашении участника на переторжку с отлагательным условием (например, при условии представления им недостающих ранее или уточняющих документов), в случае неисполнения этого </w:t>
            </w:r>
            <w:r w:rsidR="00B06A9E" w:rsidRPr="00AC6DE5">
              <w:rPr>
                <w:rFonts w:ascii="Times New Roman" w:hAnsi="Times New Roman"/>
                <w:sz w:val="24"/>
                <w:szCs w:val="24"/>
              </w:rPr>
              <w:t>условия участником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перед началом переторжки, </w:t>
            </w:r>
            <w:r w:rsidR="00D404EB" w:rsidRPr="00AC6DE5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вправе не допустить такого участника к переторжке и не рассматривать его обновлённую заявку/предложение. Заявка такого участника остается действующей с ранее объявленной ценой. </w:t>
            </w:r>
          </w:p>
          <w:p w:rsidR="00EC760E" w:rsidRPr="00AC6DE5" w:rsidRDefault="00EC760E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2)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Участники, не представившие в установленный срок обновлённые заявки или представившие их с нарушением установленного срока </w:t>
            </w:r>
            <w:r w:rsidR="00B06A9E" w:rsidRPr="00AC6DE5">
              <w:rPr>
                <w:rFonts w:ascii="Times New Roman" w:hAnsi="Times New Roman"/>
                <w:sz w:val="24"/>
                <w:szCs w:val="24"/>
              </w:rPr>
              <w:t>в переторжке,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не участвуют. При окончательной оценке </w:t>
            </w:r>
            <w:r w:rsidR="00D404EB" w:rsidRPr="00AC6DE5">
              <w:rPr>
                <w:rFonts w:ascii="Times New Roman" w:hAnsi="Times New Roman"/>
                <w:sz w:val="24"/>
                <w:szCs w:val="24"/>
              </w:rPr>
              <w:t>Закупочная комиссия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учитывает их цены, указанные в первоначально поданных заявках. </w:t>
            </w:r>
          </w:p>
          <w:p w:rsidR="000D68F0" w:rsidRPr="00AC6DE5" w:rsidRDefault="000D68F0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3)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Предложения участника по повышению цены не рассматриваются, такой участник считается не участвовавшим в переторжке и в этом случае, при подведении итогов закупки будет рассмотрен</w:t>
            </w:r>
            <w:r w:rsidR="00EC760E" w:rsidRPr="00AC6DE5">
              <w:rPr>
                <w:rFonts w:ascii="Times New Roman" w:hAnsi="Times New Roman"/>
                <w:sz w:val="24"/>
                <w:szCs w:val="24"/>
              </w:rPr>
              <w:t>о первоначально поданная заявка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такого участника.  </w:t>
            </w:r>
          </w:p>
          <w:p w:rsidR="00C637C5" w:rsidRPr="00AC6DE5" w:rsidRDefault="00C637C5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4)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Заявки участников, приглашенных на переторжку, но в ней не участвовавших, учитываются при построении итоговой </w:t>
            </w:r>
            <w:proofErr w:type="spellStart"/>
            <w:r w:rsidRPr="00AC6DE5">
              <w:rPr>
                <w:rFonts w:ascii="Times New Roman" w:hAnsi="Times New Roman"/>
                <w:sz w:val="24"/>
                <w:szCs w:val="24"/>
              </w:rPr>
              <w:t>ранжировки</w:t>
            </w:r>
            <w:proofErr w:type="spellEnd"/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предложений по первоначальному предложению. </w:t>
            </w:r>
          </w:p>
          <w:p w:rsidR="000D68F0" w:rsidRPr="00AC6DE5" w:rsidRDefault="00C637C5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D68F0" w:rsidRPr="00AC6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 xml:space="preserve"> Если по результатам последнего этапа переторжки участниками будут предоставлены одинаковые предложения по ценовому кри</w:t>
            </w:r>
            <w:r w:rsidR="0081213D" w:rsidRPr="00AC6DE5">
              <w:rPr>
                <w:rFonts w:ascii="Times New Roman" w:hAnsi="Times New Roman"/>
                <w:sz w:val="24"/>
                <w:szCs w:val="24"/>
              </w:rPr>
              <w:t>терию, З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>акупочн</w:t>
            </w:r>
            <w:r w:rsidR="0081213D" w:rsidRPr="00AC6DE5">
              <w:rPr>
                <w:rFonts w:ascii="Times New Roman" w:hAnsi="Times New Roman"/>
                <w:sz w:val="24"/>
                <w:szCs w:val="24"/>
              </w:rPr>
              <w:t xml:space="preserve">ая комиссия 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>вправе объявить ещё один тур (этап) переторжки с целью предоставления такими участниками максимально возможной скидки или возможности повышения предпочтительности их заявок (например, путем уменьшения сроков поставки продукции</w:t>
            </w:r>
            <w:r w:rsidR="001825FC" w:rsidRPr="00AC6DE5">
              <w:rPr>
                <w:rFonts w:ascii="Times New Roman" w:hAnsi="Times New Roman"/>
                <w:sz w:val="24"/>
                <w:szCs w:val="24"/>
              </w:rPr>
              <w:t xml:space="preserve"> (выполнения работ, услуг)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 xml:space="preserve">, снижения размера аванса либо изменений условий расчетов на более выгодные для </w:t>
            </w:r>
            <w:r w:rsidR="00C905EB" w:rsidRPr="00AC6DE5">
              <w:rPr>
                <w:rFonts w:ascii="Times New Roman" w:hAnsi="Times New Roman"/>
                <w:sz w:val="24"/>
                <w:szCs w:val="24"/>
              </w:rPr>
              <w:t>Организатора закупки</w:t>
            </w:r>
            <w:r w:rsidR="000D68F0" w:rsidRPr="00AC6DE5">
              <w:rPr>
                <w:rFonts w:ascii="Times New Roman" w:hAnsi="Times New Roman"/>
                <w:sz w:val="24"/>
                <w:szCs w:val="24"/>
              </w:rPr>
              <w:t>, при условии сохранения остальных положений заявки без изменений).</w:t>
            </w:r>
          </w:p>
          <w:p w:rsidR="000D68F0" w:rsidRPr="00AC6DE5" w:rsidRDefault="00C637C5" w:rsidP="00AC6DE5">
            <w:pPr>
              <w:spacing w:line="320" w:lineRule="exact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D68F0" w:rsidRPr="00AC6D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66DF1" w:rsidRPr="00AC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36FB" w:rsidRPr="00AC6DE5">
              <w:rPr>
                <w:rFonts w:ascii="Times New Roman" w:hAnsi="Times New Roman"/>
                <w:sz w:val="24"/>
                <w:szCs w:val="24"/>
              </w:rPr>
              <w:t xml:space="preserve">Результаты проведения переторжки отражаются в протоколе </w:t>
            </w:r>
            <w:r w:rsidR="002236FB" w:rsidRPr="00AC6D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Закупочной комиссии.    </w:t>
            </w:r>
          </w:p>
        </w:tc>
      </w:tr>
      <w:tr w:rsidR="001070FB" w:rsidRPr="00AC6DE5" w:rsidTr="00A2770A">
        <w:tc>
          <w:tcPr>
            <w:tcW w:w="534" w:type="dxa"/>
          </w:tcPr>
          <w:p w:rsidR="001070FB" w:rsidRPr="00AC6DE5" w:rsidRDefault="001070FB" w:rsidP="00AC6DE5">
            <w:pPr>
              <w:spacing w:line="320" w:lineRule="exac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C6DE5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0" w:type="dxa"/>
          </w:tcPr>
          <w:p w:rsidR="001070FB" w:rsidRPr="00AC6DE5" w:rsidRDefault="001070FB" w:rsidP="00AC6DE5">
            <w:pPr>
              <w:spacing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закупки</w:t>
            </w:r>
          </w:p>
        </w:tc>
        <w:tc>
          <w:tcPr>
            <w:tcW w:w="7796" w:type="dxa"/>
          </w:tcPr>
          <w:p w:rsidR="001070FB" w:rsidRPr="00AC6DE5" w:rsidRDefault="00C637C5" w:rsidP="00AC6DE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D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По окончании процедуры </w:t>
            </w:r>
            <w:r w:rsidR="0081213D" w:rsidRPr="00AC6DE5">
              <w:rPr>
                <w:rFonts w:ascii="Times New Roman" w:hAnsi="Times New Roman"/>
                <w:sz w:val="24"/>
                <w:szCs w:val="24"/>
              </w:rPr>
              <w:t>переторжки З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>акупочн</w:t>
            </w:r>
            <w:r w:rsidR="0081213D" w:rsidRPr="00AC6DE5">
              <w:rPr>
                <w:rFonts w:ascii="Times New Roman" w:hAnsi="Times New Roman"/>
                <w:sz w:val="24"/>
                <w:szCs w:val="24"/>
              </w:rPr>
              <w:t>ая комиссия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производит оценку и </w:t>
            </w:r>
            <w:r w:rsidRPr="00AC6DE5">
              <w:rPr>
                <w:rFonts w:ascii="Times New Roman" w:hAnsi="Times New Roman"/>
                <w:bCs/>
                <w:sz w:val="24"/>
                <w:szCs w:val="24"/>
              </w:rPr>
              <w:t>ранжирование коммерческих предложений участников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 в соответствии с ранее объявленными критериями в </w:t>
            </w:r>
            <w:r w:rsidR="00022388" w:rsidRPr="00AC6DE5">
              <w:rPr>
                <w:rFonts w:ascii="Times New Roman" w:hAnsi="Times New Roman"/>
                <w:sz w:val="24"/>
                <w:szCs w:val="24"/>
              </w:rPr>
              <w:t>Приглашении к участию в закупке</w:t>
            </w:r>
            <w:r w:rsidRPr="00AC6DE5">
              <w:rPr>
                <w:rFonts w:ascii="Times New Roman" w:hAnsi="Times New Roman"/>
                <w:sz w:val="24"/>
                <w:szCs w:val="24"/>
              </w:rPr>
              <w:t xml:space="preserve"> и учитывает цены, полученные в ходе переторжки.</w:t>
            </w:r>
          </w:p>
        </w:tc>
      </w:tr>
    </w:tbl>
    <w:p w:rsidR="008F79C6" w:rsidRPr="00AC6DE5" w:rsidRDefault="008F79C6" w:rsidP="00AC6DE5">
      <w:pPr>
        <w:spacing w:line="320" w:lineRule="exact"/>
        <w:ind w:firstLine="708"/>
        <w:rPr>
          <w:rFonts w:ascii="Times New Roman" w:eastAsia="Calibri" w:hAnsi="Times New Roman"/>
          <w:bCs/>
          <w:sz w:val="24"/>
          <w:szCs w:val="24"/>
        </w:rPr>
      </w:pPr>
    </w:p>
    <w:p w:rsidR="000A1A70" w:rsidRPr="00AC6DE5" w:rsidRDefault="000A1A70" w:rsidP="00AC6DE5">
      <w:pPr>
        <w:tabs>
          <w:tab w:val="left" w:pos="7760"/>
        </w:tabs>
        <w:spacing w:after="780" w:line="320" w:lineRule="exact"/>
        <w:ind w:left="20" w:right="6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1C268C" w:rsidRPr="00AC6DE5" w:rsidRDefault="009914A6" w:rsidP="00AC6DE5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AC6DE5">
        <w:rPr>
          <w:rFonts w:ascii="Times New Roman" w:hAnsi="Times New Roman"/>
          <w:b/>
          <w:sz w:val="24"/>
          <w:szCs w:val="24"/>
        </w:rPr>
        <w:t xml:space="preserve">           </w:t>
      </w:r>
      <w:r w:rsidR="000A1A70" w:rsidRPr="00AC6DE5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022388" w:rsidRPr="00AC6DE5">
        <w:rPr>
          <w:rFonts w:ascii="Times New Roman" w:hAnsi="Times New Roman"/>
          <w:b/>
          <w:sz w:val="24"/>
          <w:szCs w:val="24"/>
        </w:rPr>
        <w:t>Закупочной</w:t>
      </w:r>
      <w:r w:rsidR="00351441" w:rsidRPr="00AC6DE5">
        <w:rPr>
          <w:rFonts w:ascii="Times New Roman" w:hAnsi="Times New Roman"/>
          <w:b/>
          <w:sz w:val="24"/>
          <w:szCs w:val="24"/>
        </w:rPr>
        <w:t xml:space="preserve"> комиссии                       </w:t>
      </w:r>
      <w:r w:rsidR="006C34FE" w:rsidRPr="00AC6DE5">
        <w:rPr>
          <w:rFonts w:ascii="Times New Roman" w:hAnsi="Times New Roman"/>
          <w:b/>
          <w:sz w:val="24"/>
          <w:szCs w:val="24"/>
        </w:rPr>
        <w:t xml:space="preserve">               </w:t>
      </w:r>
      <w:r w:rsidR="00022388" w:rsidRPr="00AC6DE5">
        <w:rPr>
          <w:rFonts w:ascii="Times New Roman" w:hAnsi="Times New Roman"/>
          <w:b/>
          <w:sz w:val="24"/>
          <w:szCs w:val="24"/>
        </w:rPr>
        <w:t xml:space="preserve">       ___________ </w:t>
      </w:r>
      <w:r w:rsidR="00CB21DE" w:rsidRPr="00AC6DE5">
        <w:rPr>
          <w:rFonts w:ascii="Times New Roman" w:hAnsi="Times New Roman"/>
          <w:b/>
          <w:sz w:val="24"/>
          <w:szCs w:val="24"/>
        </w:rPr>
        <w:t>Ф.И.О.</w:t>
      </w:r>
    </w:p>
    <w:sectPr w:rsidR="001C268C" w:rsidRPr="00AC6DE5" w:rsidSect="00EB43F9">
      <w:pgSz w:w="11906" w:h="16838"/>
      <w:pgMar w:top="567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89" w:rsidRDefault="00F66189" w:rsidP="00B64B08">
      <w:r>
        <w:separator/>
      </w:r>
    </w:p>
  </w:endnote>
  <w:endnote w:type="continuationSeparator" w:id="0">
    <w:p w:rsidR="00F66189" w:rsidRDefault="00F66189" w:rsidP="00B6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89" w:rsidRDefault="00F66189" w:rsidP="00B64B08">
      <w:r>
        <w:separator/>
      </w:r>
    </w:p>
  </w:footnote>
  <w:footnote w:type="continuationSeparator" w:id="0">
    <w:p w:rsidR="00F66189" w:rsidRDefault="00F66189" w:rsidP="00B64B08">
      <w:r>
        <w:continuationSeparator/>
      </w:r>
    </w:p>
  </w:footnote>
  <w:footnote w:id="1">
    <w:p w:rsidR="0070794A" w:rsidRDefault="0070794A">
      <w:pPr>
        <w:pStyle w:val="af0"/>
      </w:pPr>
      <w:r w:rsidRPr="00EB5310">
        <w:rPr>
          <w:rStyle w:val="af2"/>
          <w:highlight w:val="yellow"/>
        </w:rPr>
        <w:footnoteRef/>
      </w:r>
      <w:r>
        <w:t xml:space="preserve"> </w:t>
      </w:r>
      <w:r w:rsidR="002236FB">
        <w:t>Начальная цена</w:t>
      </w:r>
      <w:r w:rsidR="00DC67B1">
        <w:t xml:space="preserve"> переторжки равна наименьшей</w:t>
      </w:r>
      <w:r>
        <w:t xml:space="preserve"> цен</w:t>
      </w:r>
      <w:r w:rsidR="003050D7">
        <w:t>е</w:t>
      </w:r>
      <w:r>
        <w:t xml:space="preserve"> поступивших коммерческих предложений</w:t>
      </w:r>
      <w:r w:rsidR="00DC67B1">
        <w:t xml:space="preserve"> </w:t>
      </w:r>
    </w:p>
  </w:footnote>
  <w:footnote w:id="2">
    <w:p w:rsidR="000D68F0" w:rsidRDefault="000D68F0">
      <w:pPr>
        <w:pStyle w:val="af0"/>
      </w:pPr>
      <w:r w:rsidRPr="00EB5310">
        <w:rPr>
          <w:rStyle w:val="af2"/>
          <w:highlight w:val="yellow"/>
        </w:rPr>
        <w:footnoteRef/>
      </w:r>
      <w:r>
        <w:t xml:space="preserve"> </w:t>
      </w:r>
      <w:r w:rsidR="00B03F5F">
        <w:t>С</w:t>
      </w:r>
      <w:r w:rsidR="00B03F5F" w:rsidRPr="00B03F5F">
        <w:t xml:space="preserve"> целью </w:t>
      </w:r>
      <w:proofErr w:type="spellStart"/>
      <w:r w:rsidR="00B03F5F" w:rsidRPr="00B03F5F">
        <w:t>избежания</w:t>
      </w:r>
      <w:proofErr w:type="spellEnd"/>
      <w:r w:rsidR="00B03F5F" w:rsidRPr="00B03F5F">
        <w:t xml:space="preserve"> демпинга цен</w:t>
      </w:r>
      <w:r w:rsidR="00B03F5F">
        <w:t xml:space="preserve"> может быть у</w:t>
      </w:r>
      <w:r w:rsidR="008E3620">
        <w:t>каз</w:t>
      </w:r>
      <w:r w:rsidR="00B03F5F">
        <w:t xml:space="preserve">ано </w:t>
      </w:r>
      <w:r>
        <w:t>ограничени</w:t>
      </w:r>
      <w:r w:rsidR="00B03F5F">
        <w:t>е</w:t>
      </w:r>
      <w:r>
        <w:t xml:space="preserve"> </w:t>
      </w:r>
      <w:r w:rsidR="008E3620" w:rsidRPr="008E3620">
        <w:t xml:space="preserve">по снижению цен в размере не более 20% от </w:t>
      </w:r>
      <w:r w:rsidR="008E3620">
        <w:t xml:space="preserve">начальной цены переторжки, предусмотренной пунктом </w:t>
      </w:r>
      <w:r w:rsidR="00FF0082">
        <w:t>6</w:t>
      </w:r>
      <w:r w:rsidR="008E3620">
        <w:t xml:space="preserve"> настояще</w:t>
      </w:r>
      <w:r w:rsidR="00FF0082">
        <w:t>го Приглашения</w:t>
      </w:r>
      <w:r w:rsidR="008E3620">
        <w:t xml:space="preserve">.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3F08"/>
    <w:multiLevelType w:val="hybridMultilevel"/>
    <w:tmpl w:val="7C761CA8"/>
    <w:lvl w:ilvl="0" w:tplc="EECCA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80EA5"/>
    <w:multiLevelType w:val="hybridMultilevel"/>
    <w:tmpl w:val="1E0053AA"/>
    <w:lvl w:ilvl="0" w:tplc="A380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E5C6B"/>
    <w:multiLevelType w:val="multilevel"/>
    <w:tmpl w:val="9E70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410224FF"/>
    <w:multiLevelType w:val="hybridMultilevel"/>
    <w:tmpl w:val="43E63E7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8A395C"/>
    <w:multiLevelType w:val="multilevel"/>
    <w:tmpl w:val="68060A4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4ACD564A"/>
    <w:multiLevelType w:val="hybridMultilevel"/>
    <w:tmpl w:val="9120F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C"/>
    <w:rsid w:val="00007A41"/>
    <w:rsid w:val="00010DE5"/>
    <w:rsid w:val="00022388"/>
    <w:rsid w:val="0002787C"/>
    <w:rsid w:val="00036A9E"/>
    <w:rsid w:val="000514BD"/>
    <w:rsid w:val="0006467C"/>
    <w:rsid w:val="000666FF"/>
    <w:rsid w:val="00075026"/>
    <w:rsid w:val="000753FB"/>
    <w:rsid w:val="00077F9F"/>
    <w:rsid w:val="000A1A70"/>
    <w:rsid w:val="000A4AC9"/>
    <w:rsid w:val="000B3115"/>
    <w:rsid w:val="000D3EC6"/>
    <w:rsid w:val="000D4CD9"/>
    <w:rsid w:val="000D68F0"/>
    <w:rsid w:val="000E38C7"/>
    <w:rsid w:val="00102819"/>
    <w:rsid w:val="00102E39"/>
    <w:rsid w:val="001070FB"/>
    <w:rsid w:val="0011290F"/>
    <w:rsid w:val="001137F9"/>
    <w:rsid w:val="00115113"/>
    <w:rsid w:val="00121AC5"/>
    <w:rsid w:val="0012561B"/>
    <w:rsid w:val="0012581F"/>
    <w:rsid w:val="00130EBA"/>
    <w:rsid w:val="001825FC"/>
    <w:rsid w:val="001938D2"/>
    <w:rsid w:val="001A111B"/>
    <w:rsid w:val="001A1EA3"/>
    <w:rsid w:val="001A30E0"/>
    <w:rsid w:val="001A5390"/>
    <w:rsid w:val="001A6726"/>
    <w:rsid w:val="001C268C"/>
    <w:rsid w:val="001C4D12"/>
    <w:rsid w:val="001D79D8"/>
    <w:rsid w:val="002039CF"/>
    <w:rsid w:val="00211D67"/>
    <w:rsid w:val="00216C5D"/>
    <w:rsid w:val="002236FB"/>
    <w:rsid w:val="00224713"/>
    <w:rsid w:val="0022694F"/>
    <w:rsid w:val="0024089C"/>
    <w:rsid w:val="00244D93"/>
    <w:rsid w:val="00255A43"/>
    <w:rsid w:val="0026145B"/>
    <w:rsid w:val="00267F1F"/>
    <w:rsid w:val="00270401"/>
    <w:rsid w:val="002907F2"/>
    <w:rsid w:val="002A010B"/>
    <w:rsid w:val="002A2D5A"/>
    <w:rsid w:val="002A2E88"/>
    <w:rsid w:val="002C6993"/>
    <w:rsid w:val="002C6DEB"/>
    <w:rsid w:val="002D1D13"/>
    <w:rsid w:val="002E1B35"/>
    <w:rsid w:val="002E6B64"/>
    <w:rsid w:val="002F3995"/>
    <w:rsid w:val="002F7E2A"/>
    <w:rsid w:val="00303281"/>
    <w:rsid w:val="003050D7"/>
    <w:rsid w:val="003124C7"/>
    <w:rsid w:val="00314251"/>
    <w:rsid w:val="0031724C"/>
    <w:rsid w:val="003240D1"/>
    <w:rsid w:val="0033023D"/>
    <w:rsid w:val="003323EC"/>
    <w:rsid w:val="003350B2"/>
    <w:rsid w:val="00336B12"/>
    <w:rsid w:val="003372CB"/>
    <w:rsid w:val="00340CD6"/>
    <w:rsid w:val="003435E4"/>
    <w:rsid w:val="00351441"/>
    <w:rsid w:val="003834CC"/>
    <w:rsid w:val="003A5183"/>
    <w:rsid w:val="003B75D7"/>
    <w:rsid w:val="003E3D86"/>
    <w:rsid w:val="003F0BD9"/>
    <w:rsid w:val="003F0F28"/>
    <w:rsid w:val="003F4DCF"/>
    <w:rsid w:val="00402DF0"/>
    <w:rsid w:val="0042274E"/>
    <w:rsid w:val="00425B82"/>
    <w:rsid w:val="00431D16"/>
    <w:rsid w:val="00432C29"/>
    <w:rsid w:val="004504A3"/>
    <w:rsid w:val="00453D2F"/>
    <w:rsid w:val="00473B0F"/>
    <w:rsid w:val="00476A78"/>
    <w:rsid w:val="00497CAF"/>
    <w:rsid w:val="004A04C0"/>
    <w:rsid w:val="004E6412"/>
    <w:rsid w:val="004F002A"/>
    <w:rsid w:val="004F13C8"/>
    <w:rsid w:val="004F764B"/>
    <w:rsid w:val="00501C96"/>
    <w:rsid w:val="005022C2"/>
    <w:rsid w:val="00502D85"/>
    <w:rsid w:val="0050617D"/>
    <w:rsid w:val="00511E8D"/>
    <w:rsid w:val="0052000F"/>
    <w:rsid w:val="00526DCD"/>
    <w:rsid w:val="0053325D"/>
    <w:rsid w:val="00544B67"/>
    <w:rsid w:val="00565180"/>
    <w:rsid w:val="00570239"/>
    <w:rsid w:val="0057423C"/>
    <w:rsid w:val="00575E9C"/>
    <w:rsid w:val="00584333"/>
    <w:rsid w:val="005950D0"/>
    <w:rsid w:val="005C411B"/>
    <w:rsid w:val="005C5B45"/>
    <w:rsid w:val="005C792B"/>
    <w:rsid w:val="005D2C62"/>
    <w:rsid w:val="005D518D"/>
    <w:rsid w:val="005E68E6"/>
    <w:rsid w:val="006004BB"/>
    <w:rsid w:val="006050F2"/>
    <w:rsid w:val="0061070D"/>
    <w:rsid w:val="00624481"/>
    <w:rsid w:val="00627F88"/>
    <w:rsid w:val="006329BE"/>
    <w:rsid w:val="00647BF9"/>
    <w:rsid w:val="00665DDF"/>
    <w:rsid w:val="00667941"/>
    <w:rsid w:val="00692737"/>
    <w:rsid w:val="006936D1"/>
    <w:rsid w:val="0069432A"/>
    <w:rsid w:val="00697CC3"/>
    <w:rsid w:val="006A20DE"/>
    <w:rsid w:val="006B3933"/>
    <w:rsid w:val="006C34FE"/>
    <w:rsid w:val="006D1393"/>
    <w:rsid w:val="006D1F2C"/>
    <w:rsid w:val="006F73D4"/>
    <w:rsid w:val="00701839"/>
    <w:rsid w:val="0070387B"/>
    <w:rsid w:val="0070794A"/>
    <w:rsid w:val="00707D22"/>
    <w:rsid w:val="00722991"/>
    <w:rsid w:val="00723CB5"/>
    <w:rsid w:val="00732BA9"/>
    <w:rsid w:val="00734406"/>
    <w:rsid w:val="00747909"/>
    <w:rsid w:val="007570F5"/>
    <w:rsid w:val="007705EC"/>
    <w:rsid w:val="00790C50"/>
    <w:rsid w:val="007B6FC1"/>
    <w:rsid w:val="007D5FC4"/>
    <w:rsid w:val="007E3997"/>
    <w:rsid w:val="007F0C15"/>
    <w:rsid w:val="00801D78"/>
    <w:rsid w:val="0080795C"/>
    <w:rsid w:val="008118E7"/>
    <w:rsid w:val="0081213D"/>
    <w:rsid w:val="00814571"/>
    <w:rsid w:val="008159B8"/>
    <w:rsid w:val="00820DB5"/>
    <w:rsid w:val="008224EA"/>
    <w:rsid w:val="00824C0A"/>
    <w:rsid w:val="008262DC"/>
    <w:rsid w:val="008411A3"/>
    <w:rsid w:val="008415D2"/>
    <w:rsid w:val="008529F4"/>
    <w:rsid w:val="00873FCE"/>
    <w:rsid w:val="00894199"/>
    <w:rsid w:val="008B5A08"/>
    <w:rsid w:val="008C419A"/>
    <w:rsid w:val="008D2223"/>
    <w:rsid w:val="008D28FD"/>
    <w:rsid w:val="008D518B"/>
    <w:rsid w:val="008E3620"/>
    <w:rsid w:val="008E5FA2"/>
    <w:rsid w:val="008F6976"/>
    <w:rsid w:val="008F79C6"/>
    <w:rsid w:val="0091756D"/>
    <w:rsid w:val="00922FC6"/>
    <w:rsid w:val="0093433D"/>
    <w:rsid w:val="009362FB"/>
    <w:rsid w:val="0095385F"/>
    <w:rsid w:val="00954A18"/>
    <w:rsid w:val="00973D8C"/>
    <w:rsid w:val="009914A6"/>
    <w:rsid w:val="009E4FB4"/>
    <w:rsid w:val="009F1222"/>
    <w:rsid w:val="00A12D90"/>
    <w:rsid w:val="00A15909"/>
    <w:rsid w:val="00A20500"/>
    <w:rsid w:val="00A24785"/>
    <w:rsid w:val="00A2770A"/>
    <w:rsid w:val="00A35467"/>
    <w:rsid w:val="00A362F4"/>
    <w:rsid w:val="00A366F0"/>
    <w:rsid w:val="00A373E3"/>
    <w:rsid w:val="00A40B68"/>
    <w:rsid w:val="00A41688"/>
    <w:rsid w:val="00A46DC4"/>
    <w:rsid w:val="00A62FCF"/>
    <w:rsid w:val="00A73FF4"/>
    <w:rsid w:val="00A76E87"/>
    <w:rsid w:val="00A7736E"/>
    <w:rsid w:val="00A92357"/>
    <w:rsid w:val="00AB066E"/>
    <w:rsid w:val="00AB5149"/>
    <w:rsid w:val="00AC6DE5"/>
    <w:rsid w:val="00AC7773"/>
    <w:rsid w:val="00AE1BE5"/>
    <w:rsid w:val="00AE2591"/>
    <w:rsid w:val="00AE306E"/>
    <w:rsid w:val="00AE7669"/>
    <w:rsid w:val="00B03F5F"/>
    <w:rsid w:val="00B05F1B"/>
    <w:rsid w:val="00B06A9E"/>
    <w:rsid w:val="00B20B86"/>
    <w:rsid w:val="00B313BB"/>
    <w:rsid w:val="00B33054"/>
    <w:rsid w:val="00B432E8"/>
    <w:rsid w:val="00B4350C"/>
    <w:rsid w:val="00B46DDB"/>
    <w:rsid w:val="00B50C00"/>
    <w:rsid w:val="00B547D4"/>
    <w:rsid w:val="00B64B08"/>
    <w:rsid w:val="00B858C5"/>
    <w:rsid w:val="00B86622"/>
    <w:rsid w:val="00BE3A8D"/>
    <w:rsid w:val="00C03399"/>
    <w:rsid w:val="00C10B56"/>
    <w:rsid w:val="00C159FC"/>
    <w:rsid w:val="00C16480"/>
    <w:rsid w:val="00C17D9E"/>
    <w:rsid w:val="00C44E96"/>
    <w:rsid w:val="00C637C5"/>
    <w:rsid w:val="00C758E5"/>
    <w:rsid w:val="00C87294"/>
    <w:rsid w:val="00C905EB"/>
    <w:rsid w:val="00C964CD"/>
    <w:rsid w:val="00CB21DE"/>
    <w:rsid w:val="00CB2B21"/>
    <w:rsid w:val="00CC3517"/>
    <w:rsid w:val="00CD0061"/>
    <w:rsid w:val="00CE3C57"/>
    <w:rsid w:val="00CE7C12"/>
    <w:rsid w:val="00CF615A"/>
    <w:rsid w:val="00D04C60"/>
    <w:rsid w:val="00D14E6C"/>
    <w:rsid w:val="00D17B5B"/>
    <w:rsid w:val="00D21DD1"/>
    <w:rsid w:val="00D255B9"/>
    <w:rsid w:val="00D25B44"/>
    <w:rsid w:val="00D33A76"/>
    <w:rsid w:val="00D3663F"/>
    <w:rsid w:val="00D404EB"/>
    <w:rsid w:val="00D42762"/>
    <w:rsid w:val="00D43624"/>
    <w:rsid w:val="00D5371F"/>
    <w:rsid w:val="00D61661"/>
    <w:rsid w:val="00D66DF1"/>
    <w:rsid w:val="00D70C92"/>
    <w:rsid w:val="00D71A1A"/>
    <w:rsid w:val="00D80396"/>
    <w:rsid w:val="00DA3799"/>
    <w:rsid w:val="00DA603A"/>
    <w:rsid w:val="00DA6412"/>
    <w:rsid w:val="00DC67B1"/>
    <w:rsid w:val="00DC67BB"/>
    <w:rsid w:val="00DE37EC"/>
    <w:rsid w:val="00DE447B"/>
    <w:rsid w:val="00E00F0E"/>
    <w:rsid w:val="00E24ED4"/>
    <w:rsid w:val="00E425CF"/>
    <w:rsid w:val="00E637F6"/>
    <w:rsid w:val="00E67A22"/>
    <w:rsid w:val="00E67E03"/>
    <w:rsid w:val="00E70D4B"/>
    <w:rsid w:val="00E92429"/>
    <w:rsid w:val="00E9328D"/>
    <w:rsid w:val="00EB43F9"/>
    <w:rsid w:val="00EB5310"/>
    <w:rsid w:val="00EB60F7"/>
    <w:rsid w:val="00EC760E"/>
    <w:rsid w:val="00ED21D6"/>
    <w:rsid w:val="00EE4380"/>
    <w:rsid w:val="00EF0C3C"/>
    <w:rsid w:val="00EF501F"/>
    <w:rsid w:val="00EF50B4"/>
    <w:rsid w:val="00EF5152"/>
    <w:rsid w:val="00F0696A"/>
    <w:rsid w:val="00F10479"/>
    <w:rsid w:val="00F20254"/>
    <w:rsid w:val="00F219BA"/>
    <w:rsid w:val="00F44193"/>
    <w:rsid w:val="00F543C9"/>
    <w:rsid w:val="00F57557"/>
    <w:rsid w:val="00F61EDB"/>
    <w:rsid w:val="00F66189"/>
    <w:rsid w:val="00F66F28"/>
    <w:rsid w:val="00F84E96"/>
    <w:rsid w:val="00F87B83"/>
    <w:rsid w:val="00F937F7"/>
    <w:rsid w:val="00F962DE"/>
    <w:rsid w:val="00FA4222"/>
    <w:rsid w:val="00FB5C42"/>
    <w:rsid w:val="00FD48DF"/>
    <w:rsid w:val="00FE06AA"/>
    <w:rsid w:val="00FE214B"/>
    <w:rsid w:val="00FE795C"/>
    <w:rsid w:val="00FF0082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1D789"/>
  <w15:docId w15:val="{B01682A2-3AFD-48BC-89E3-65F07C62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C268C"/>
    <w:rPr>
      <w:rFonts w:ascii="Kudriashov" w:eastAsia="Times New Roman" w:hAnsi="Kudriashov"/>
      <w:sz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E24ED4"/>
    <w:pPr>
      <w:keepNext/>
      <w:keepLines/>
      <w:pageBreakBefore/>
      <w:numPr>
        <w:numId w:val="6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6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24ED4"/>
    <w:pPr>
      <w:keepNext/>
      <w:numPr>
        <w:ilvl w:val="1"/>
        <w:numId w:val="6"/>
      </w:numPr>
      <w:suppressAutoHyphens/>
      <w:spacing w:before="360" w:after="120"/>
      <w:outlineLvl w:val="1"/>
    </w:pPr>
    <w:rPr>
      <w:rFonts w:ascii="Times New Roman" w:hAnsi="Times New Roman"/>
      <w:b/>
      <w:snapToGrid w:val="0"/>
      <w:sz w:val="32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1C268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2"/>
    <w:link w:val="a8"/>
    <w:rsid w:val="001C268C"/>
    <w:pPr>
      <w:ind w:firstLine="705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link w:val="a7"/>
    <w:rsid w:val="001C268C"/>
    <w:rPr>
      <w:rFonts w:eastAsia="Times New Roman"/>
      <w:sz w:val="24"/>
      <w:szCs w:val="24"/>
      <w:lang w:eastAsia="ru-RU"/>
    </w:rPr>
  </w:style>
  <w:style w:type="character" w:styleId="a9">
    <w:name w:val="Hyperlink"/>
    <w:rsid w:val="001C268C"/>
    <w:rPr>
      <w:color w:val="0000FF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8D28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28F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2"/>
    <w:link w:val="ad"/>
    <w:uiPriority w:val="99"/>
    <w:unhideWhenUsed/>
    <w:rsid w:val="00B64B0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4B08"/>
    <w:rPr>
      <w:rFonts w:ascii="Kudriashov" w:eastAsia="Times New Roman" w:hAnsi="Kudriashov"/>
      <w:sz w:val="28"/>
    </w:rPr>
  </w:style>
  <w:style w:type="paragraph" w:styleId="ae">
    <w:name w:val="footer"/>
    <w:basedOn w:val="a2"/>
    <w:link w:val="af"/>
    <w:uiPriority w:val="99"/>
    <w:unhideWhenUsed/>
    <w:rsid w:val="00B64B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4B08"/>
    <w:rPr>
      <w:rFonts w:ascii="Kudriashov" w:eastAsia="Times New Roman" w:hAnsi="Kudriashov"/>
      <w:sz w:val="28"/>
    </w:rPr>
  </w:style>
  <w:style w:type="paragraph" w:styleId="af0">
    <w:name w:val="footnote text"/>
    <w:basedOn w:val="a2"/>
    <w:link w:val="af1"/>
    <w:uiPriority w:val="99"/>
    <w:semiHidden/>
    <w:unhideWhenUsed/>
    <w:rsid w:val="0070794A"/>
    <w:rPr>
      <w:sz w:val="20"/>
    </w:rPr>
  </w:style>
  <w:style w:type="character" w:customStyle="1" w:styleId="af1">
    <w:name w:val="Текст сноски Знак"/>
    <w:basedOn w:val="a3"/>
    <w:link w:val="af0"/>
    <w:uiPriority w:val="99"/>
    <w:semiHidden/>
    <w:rsid w:val="0070794A"/>
    <w:rPr>
      <w:rFonts w:ascii="Kudriashov" w:eastAsia="Times New Roman" w:hAnsi="Kudriashov"/>
    </w:rPr>
  </w:style>
  <w:style w:type="character" w:styleId="af2">
    <w:name w:val="footnote reference"/>
    <w:basedOn w:val="a3"/>
    <w:uiPriority w:val="99"/>
    <w:semiHidden/>
    <w:unhideWhenUsed/>
    <w:rsid w:val="0070794A"/>
    <w:rPr>
      <w:vertAlign w:val="superscript"/>
    </w:rPr>
  </w:style>
  <w:style w:type="paragraph" w:styleId="af3">
    <w:name w:val="List Paragraph"/>
    <w:basedOn w:val="a2"/>
    <w:link w:val="af4"/>
    <w:uiPriority w:val="34"/>
    <w:qFormat/>
    <w:rsid w:val="00B313BB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E00F0E"/>
    <w:rPr>
      <w:rFonts w:ascii="Kudriashov" w:eastAsia="Times New Roman" w:hAnsi="Kudriashov"/>
      <w:sz w:val="28"/>
    </w:rPr>
  </w:style>
  <w:style w:type="paragraph" w:styleId="21">
    <w:name w:val="Body Text 2"/>
    <w:basedOn w:val="a2"/>
    <w:link w:val="22"/>
    <w:uiPriority w:val="99"/>
    <w:semiHidden/>
    <w:unhideWhenUsed/>
    <w:rsid w:val="00824C0A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uiPriority w:val="99"/>
    <w:semiHidden/>
    <w:rsid w:val="00824C0A"/>
    <w:rPr>
      <w:rFonts w:ascii="Kudriashov" w:eastAsia="Times New Roman" w:hAnsi="Kudriashov"/>
      <w:sz w:val="28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E24ED4"/>
    <w:rPr>
      <w:rFonts w:ascii="Arial" w:eastAsia="Times New Roman" w:hAnsi="Arial"/>
      <w:b/>
      <w:kern w:val="28"/>
      <w:sz w:val="40"/>
      <w:szCs w:val="26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24ED4"/>
    <w:rPr>
      <w:rFonts w:eastAsia="Times New Roman"/>
      <w:b/>
      <w:snapToGrid w:val="0"/>
      <w:sz w:val="32"/>
      <w:szCs w:val="26"/>
    </w:rPr>
  </w:style>
  <w:style w:type="paragraph" w:customStyle="1" w:styleId="a">
    <w:name w:val="Пункт"/>
    <w:basedOn w:val="a2"/>
    <w:link w:val="23"/>
    <w:rsid w:val="00E24ED4"/>
    <w:pPr>
      <w:numPr>
        <w:ilvl w:val="2"/>
        <w:numId w:val="6"/>
      </w:numPr>
      <w:spacing w:before="120"/>
      <w:jc w:val="both"/>
    </w:pPr>
    <w:rPr>
      <w:rFonts w:ascii="Times New Roman" w:hAnsi="Times New Roman"/>
      <w:snapToGrid w:val="0"/>
      <w:sz w:val="26"/>
      <w:szCs w:val="26"/>
    </w:rPr>
  </w:style>
  <w:style w:type="character" w:customStyle="1" w:styleId="23">
    <w:name w:val="Пункт Знак2"/>
    <w:link w:val="a"/>
    <w:rsid w:val="00E24ED4"/>
    <w:rPr>
      <w:rFonts w:eastAsia="Times New Roman"/>
      <w:snapToGrid w:val="0"/>
      <w:sz w:val="26"/>
      <w:szCs w:val="26"/>
    </w:rPr>
  </w:style>
  <w:style w:type="paragraph" w:customStyle="1" w:styleId="a0">
    <w:name w:val="Подпункт"/>
    <w:basedOn w:val="a"/>
    <w:rsid w:val="00E24ED4"/>
    <w:pPr>
      <w:numPr>
        <w:ilvl w:val="3"/>
      </w:numPr>
    </w:pPr>
  </w:style>
  <w:style w:type="paragraph" w:customStyle="1" w:styleId="a1">
    <w:name w:val="Подподпункт"/>
    <w:basedOn w:val="a0"/>
    <w:link w:val="af5"/>
    <w:rsid w:val="00E24ED4"/>
    <w:pPr>
      <w:numPr>
        <w:ilvl w:val="4"/>
      </w:numPr>
    </w:pPr>
  </w:style>
  <w:style w:type="character" w:customStyle="1" w:styleId="af5">
    <w:name w:val="Подподпункт Знак"/>
    <w:link w:val="a1"/>
    <w:locked/>
    <w:rsid w:val="00E24ED4"/>
    <w:rPr>
      <w:rFonts w:eastAsia="Times New Roman"/>
      <w:snapToGrid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96EF-677A-40C5-989D-008E4B55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 "АЛРОСА" (ЗАО)</Company>
  <LinksUpToDate>false</LinksUpToDate>
  <CharactersWithSpaces>6930</CharactersWithSpaces>
  <SharedDoc>false</SharedDoc>
  <HLinks>
    <vt:vector size="18" baseType="variant">
      <vt:variant>
        <vt:i4>6160506</vt:i4>
      </vt:variant>
      <vt:variant>
        <vt:i4>9</vt:i4>
      </vt:variant>
      <vt:variant>
        <vt:i4>0</vt:i4>
      </vt:variant>
      <vt:variant>
        <vt:i4>5</vt:i4>
      </vt:variant>
      <vt:variant>
        <vt:lpwstr>mailto:web@rg.ru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mailto:info@alrosa.ru_</vt:lpwstr>
      </vt:variant>
      <vt:variant>
        <vt:lpwstr/>
      </vt:variant>
      <vt:variant>
        <vt:i4>1048640</vt:i4>
      </vt:variant>
      <vt:variant>
        <vt:i4>3</vt:i4>
      </vt:variant>
      <vt:variant>
        <vt:i4>0</vt:i4>
      </vt:variant>
      <vt:variant>
        <vt:i4>5</vt:i4>
      </vt:variant>
      <vt:variant>
        <vt:lpwstr>http://www.alrosa.ru/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ZavalovaNS</dc:creator>
  <cp:lastModifiedBy>Рукавишникова Екатерина Викторовна</cp:lastModifiedBy>
  <cp:revision>21</cp:revision>
  <cp:lastPrinted>2014-11-27T10:25:00Z</cp:lastPrinted>
  <dcterms:created xsi:type="dcterms:W3CDTF">2014-12-08T23:50:00Z</dcterms:created>
  <dcterms:modified xsi:type="dcterms:W3CDTF">2023-01-31T10:16:00Z</dcterms:modified>
</cp:coreProperties>
</file>